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209</w:t>
      </w:r>
    </w:p>
    <w:p>
      <w:r>
        <w:t>Bundesgericht (BGE), 2006-01-19, FR</w:t>
      </w:r>
    </w:p>
    <w:p>
      <w:r>
        <w:rPr>
          <w:b/>
        </w:rPr>
        <w:t xml:space="preserve">Quelle: </w:t>
      </w:r>
      <w:r>
        <w:t>https://mcp.opencaselaw.ch/entscheid/bge_132 III 209</w:t>
      </w:r>
    </w:p>
    <w:p>
      <w:r>
        <w:t>FR: ATF 132 III 209</w:t>
      </w:r>
    </w:p>
    <w:p>
      <w:r>
        <w:t>IT: DTF 132 III 209</w:t>
      </w:r>
    </w:p>
    <w:p>
      <w:pPr>
        <w:pStyle w:val="Heading2"/>
      </w:pPr>
      <w:r>
        <w:t>Regeste</w:t>
      </w:r>
    </w:p>
    <w:p>
      <w:r>
        <w:t>Regeste Art. 137 Abs. 2 und Art. 163 ZGB; vorsorgliche Massnahmen während des Scheidungsverfahrens, Festsetzung des Ehegattenunterhalts. Die Unterhaltspflicht gegenüber dem Ehegatten geht derjenigen gegenüber dem mündigen Kind vor; die Unterhaltskosten für das mündige Kind dürfen folglich nicht in das (erweiterte) Existenzminimum des unterhaltspflichtigen Ehegatten eingeschlossen werden (E. 2.3).</w:t>
      </w:r>
    </w:p>
    <w:p>
      <w:pPr>
        <w:pStyle w:val="Heading2"/>
      </w:pPr>
      <w:r>
        <w:t>Erwägungen</w:t>
      </w:r>
    </w:p>
    <w:p>
      <w:r>
        <w:rPr>
          <w:b/>
        </w:rPr>
        <w:t>E. 2</w:t>
      </w:r>
    </w:p>
    <w:p>
      <w:r>
        <w:t>En l'espèce, le Tribunal d'arrondissement a fixé à 5'270 fr. le minimum vital (élargi) du débiteur (= 1'100 fr. [base mensuelle] + 1'500 fr. [loyer hypothétique] + 400 fr. [frais de déplacement] + 270 fr. [cotisations d'assurance-maladie] + 2'000 fr. [participation aux frais d'entretien de ses filles B. et C.]); compte tenu d'un gain hypothétique mensuel net de 6'500 fr., l'intéressé dispose ainsi de 1'230 fr. par mois. Quant à la femme, elle réalise un revenu global de 3'142 fr. par mois, alors que ses charges se montent à 3'712 fr., en sorte que son budget accuse un déficit de 570 fr. par mois. La moitié du montant correspondant à la différence entre cette dernière somme et le surplus du mari, à savoir 330 fr. (1'230 - 570 : 2), doit être attribuée à la femme, en plus de son découvert. La pension doit donc être arrêtée à 900 fr. par mois. La recourante fait valoir, en bref, que la prise en considération dans le minimum vital de l'intimé des frais d'entretien de ses filles majeures est arbitraire; cette inclusion influe sur le résultat de la décision, puisque, si la charge contestée était supprimée, la contribution d'entretien serait de 1'900 fr. par mois. BGE 132 III 209 S. 211</w:t>
      </w:r>
    </w:p>
    <w:p>
      <w:r>
        <w:rPr>
          <w:b/>
        </w:rPr>
        <w:t>E. 2.1</w:t>
      </w:r>
    </w:p>
    <w:p>
      <w:r>
        <w:t>D'après la jurisprudence, une décision est arbitraire lorsqu'elle est manifestement insoutenable, méconnaît gravement une norme ou un principe juridique clair et indiscuté, ou heurte de manière choquante le sentiment de la justice et de l'équité ( ATF 131 I 57 consid. 2 p. 61; ATF 128 I 273 consid. 2.1 p. 275); il ne suffit pas qu'une autre solution paraisse concevable, voire préférable ( ATF 129 I 8 consid. 2.1 p. 9; ATF 126 III 438 consid. 3 p. 440); pour que cette décision soit annulée, encore faut-il qu'elle se révèle arbitraire, non seulement dans ses motifs, mais aussi dans son résultat ( ATF 131 I 217 consid. 2.1 p. 219). (...)</w:t>
      </w:r>
    </w:p>
    <w:p>
      <w:r>
        <w:rPr>
          <w:b/>
        </w:rPr>
        <w:t>E. 2.3</w:t>
      </w:r>
    </w:p>
    <w:p>
      <w:r>
        <w:t>La loi ne dit rien au sujet d'une éventuelle priorité de la pension du conjoint sur celle des enfants mineurs , ou inversement. La doctrine est divisée (cf. sur l'ensemble de la question: HAUSHEER/SPYCHER, Handbuch des Unterhaltsrechts, n. 08.28 ss et les références); le Tribunal fédéral a d'abord admis l'absence de hiérarchie ( ATF 123 III 1 consid. 5 p. 8), puis a laissé ce point indécis ( ATF 128 III 411 consid. 3.2.2 p. 415 et la jurisprudence citée). S'agissant des enfants majeurs ( art. 277 al. 2 CC ), le Tribunal fédéral a posé le principe qu'on ne peut exiger d'un parent qu'il subvienne à leur entretien que si, après versement de cette contribution, le débiteur dispose encore d'un revenu dépassant d'environ 20 % son minimum vital au sens large ( ATF 118 II 97 consid. 4b/aa p. 99/100; ATF 127 I 202 consid. 3e p. 207). Comme les père et mère doivent être traités d'une manière égale quant à l'estimation de leur capacité financière, la règle du minimum vital élargi et augmenté vaut aussi pour l'autre parent. Si les parents vivent ensemble, leurs besoins respectifs seront calculés d'une façon identique; s'ils sont séparés ou divorcés, la contribution due entre époux devra être prise en considération dans les charges du débirentier. L'obligation d'entretien du conjoint l'emporte ainsi sur celle de l'enfant majeur. Il s'ensuit que, dans la mesure où les prétentions de celui-ci ne peuvent être satisfaites, il devra rechercher directement l'autre parent - à savoir l'époux crédirentier -, autant que ce dernier dispose d'une capacité contributive suffisante (arrêt 5P.384/2002 du 17 décembre 2002, consid. 2.1). La doctrine partage également cette solution (HAUSHEER/SPYCHER, op. cit., n. 08.31; GEISER, PJA 1993 p. 910; GLOOR/SPYCHER, in Basler Kommentar, n. 16 ad art. 125 CC ; SCHWENZER, in FamKom Scheidung, 2 e éd., n. 28 ad art. 125 CC ); quoi qu'en dise le dernier auteur cité - dont se réclame l'intimé -, STEINAUER BGE 132 III 209 S. 212 (Revue fribourgeoise de jurisprudence [RFJ] 1992 p. 11) ne défend pas l'avis contraire, mais se place dans l'optique de la contribution due à l'enfant mineur . Vu ce qui précède, l'inclusion dans le minimum vital élargi de l'intimé de la "participation à l'entretien" de ses deux filles majeures constitue une violation manifeste, partant arbitraire, de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